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0"/>
          <w:szCs w:val="30"/>
        </w:rPr>
      </w:pPr>
      <w:r>
        <w:rPr>
          <w:rFonts w:hint="eastAsia" w:ascii="宋体"/>
          <w:b/>
          <w:sz w:val="30"/>
          <w:szCs w:val="30"/>
          <w:lang w:eastAsia="zh-CN"/>
        </w:rPr>
        <w:t>2024</w:t>
      </w:r>
      <w:r>
        <w:rPr>
          <w:rFonts w:hint="eastAsia" w:ascii="宋体"/>
          <w:b/>
          <w:sz w:val="30"/>
          <w:szCs w:val="30"/>
        </w:rPr>
        <w:t>年人乳头瘤病毒基因分型检测室间质量评价</w:t>
      </w:r>
    </w:p>
    <w:p>
      <w:pPr>
        <w:jc w:val="center"/>
        <w:rPr>
          <w:rFonts w:ascii="宋体"/>
          <w:b/>
          <w:sz w:val="30"/>
          <w:szCs w:val="30"/>
        </w:rPr>
      </w:pPr>
      <w:r>
        <w:rPr>
          <w:rFonts w:hint="eastAsia" w:ascii="宋体"/>
          <w:b/>
          <w:sz w:val="30"/>
          <w:szCs w:val="30"/>
        </w:rPr>
        <w:t>计划及要求</w:t>
      </w:r>
    </w:p>
    <w:p>
      <w:pPr>
        <w:numPr>
          <w:ilvl w:val="0"/>
          <w:numId w:val="1"/>
        </w:numPr>
        <w:rPr>
          <w:rFonts w:ascii="宋体"/>
          <w:sz w:val="24"/>
        </w:rPr>
      </w:pPr>
      <w:r>
        <w:rPr>
          <w:rFonts w:hint="eastAsia" w:ascii="宋体"/>
          <w:sz w:val="24"/>
        </w:rPr>
        <w:t>质评项目及活动时间安排：</w:t>
      </w:r>
    </w:p>
    <w:p>
      <w:pPr>
        <w:ind w:left="735" w:leftChars="350" w:firstLine="480" w:firstLineChars="200"/>
        <w:rPr>
          <w:rFonts w:ascii="宋体"/>
          <w:sz w:val="24"/>
        </w:rPr>
      </w:pPr>
      <w:r>
        <w:rPr>
          <w:rFonts w:hint="eastAsia" w:ascii="宋体"/>
          <w:sz w:val="24"/>
          <w:lang w:eastAsia="zh-CN"/>
        </w:rPr>
        <w:t>2024</w:t>
      </w:r>
      <w:r>
        <w:rPr>
          <w:rFonts w:ascii="宋体"/>
          <w:sz w:val="24"/>
        </w:rPr>
        <w:t>年</w:t>
      </w:r>
      <w:r>
        <w:rPr>
          <w:rFonts w:hint="eastAsia" w:ascii="宋体"/>
          <w:sz w:val="24"/>
        </w:rPr>
        <w:t>北京市人乳头瘤病毒基因分型检测</w:t>
      </w:r>
      <w:r>
        <w:rPr>
          <w:rFonts w:ascii="宋体"/>
          <w:sz w:val="24"/>
        </w:rPr>
        <w:t>室间质量评价将进行2次活动（共10个批号样</w:t>
      </w:r>
      <w:r>
        <w:rPr>
          <w:rFonts w:hint="eastAsia" w:ascii="宋体"/>
          <w:sz w:val="24"/>
        </w:rPr>
        <w:t>本</w:t>
      </w:r>
      <w:r>
        <w:rPr>
          <w:rFonts w:ascii="宋体"/>
          <w:sz w:val="24"/>
        </w:rPr>
        <w:t>），测定项目</w:t>
      </w:r>
      <w:r>
        <w:rPr>
          <w:rFonts w:hint="eastAsia" w:ascii="宋体"/>
          <w:sz w:val="24"/>
        </w:rPr>
        <w:t>是HPV基因定性检测</w:t>
      </w:r>
      <w:r>
        <w:rPr>
          <w:rFonts w:ascii="宋体"/>
          <w:sz w:val="24"/>
        </w:rPr>
        <w:t>。</w:t>
      </w:r>
      <w:r>
        <w:rPr>
          <w:rFonts w:hint="eastAsia" w:ascii="宋体"/>
          <w:sz w:val="24"/>
        </w:rPr>
        <w:t>具体时间安排如下：</w:t>
      </w:r>
    </w:p>
    <w:p>
      <w:pPr>
        <w:ind w:left="735" w:leftChars="350" w:firstLine="420" w:firstLineChars="200"/>
        <w:rPr>
          <w:rFonts w:ascii="宋体"/>
          <w:szCs w:val="21"/>
        </w:rPr>
      </w:pPr>
    </w:p>
    <w:tbl>
      <w:tblPr>
        <w:tblStyle w:val="4"/>
        <w:tblW w:w="822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835"/>
        <w:gridCol w:w="19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次数</w:t>
            </w:r>
          </w:p>
        </w:tc>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质评样本编号</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质评样本测定日期</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网络传输时限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第一次</w:t>
            </w:r>
          </w:p>
        </w:tc>
        <w:tc>
          <w:tcPr>
            <w:tcW w:w="2835" w:type="dxa"/>
            <w:tcBorders>
              <w:top w:val="single" w:color="auto" w:sz="4" w:space="0"/>
              <w:left w:val="single" w:color="auto" w:sz="4" w:space="0"/>
              <w:bottom w:val="single" w:color="auto" w:sz="4" w:space="0"/>
              <w:right w:val="single" w:color="auto" w:sz="4" w:space="0"/>
            </w:tcBorders>
          </w:tcPr>
          <w:p>
            <w:pPr>
              <w:rPr>
                <w:rFonts w:ascii="宋体"/>
                <w:szCs w:val="21"/>
              </w:rPr>
            </w:pPr>
            <w:r>
              <w:rPr>
                <w:rFonts w:hint="eastAsia" w:ascii="宋体"/>
                <w:szCs w:val="21"/>
                <w:lang w:eastAsia="zh-CN"/>
              </w:rPr>
              <w:t>2024</w:t>
            </w:r>
            <w:r>
              <w:rPr>
                <w:rFonts w:hint="eastAsia" w:ascii="宋体"/>
                <w:szCs w:val="21"/>
              </w:rPr>
              <w:t>11、</w:t>
            </w:r>
            <w:r>
              <w:rPr>
                <w:rFonts w:hint="eastAsia" w:ascii="宋体"/>
                <w:szCs w:val="21"/>
                <w:lang w:eastAsia="zh-CN"/>
              </w:rPr>
              <w:t>2024</w:t>
            </w:r>
            <w:r>
              <w:rPr>
                <w:rFonts w:hint="eastAsia" w:ascii="宋体"/>
                <w:szCs w:val="21"/>
              </w:rPr>
              <w:t>12、</w:t>
            </w:r>
            <w:r>
              <w:rPr>
                <w:rFonts w:hint="eastAsia" w:ascii="宋体"/>
                <w:szCs w:val="21"/>
                <w:lang w:eastAsia="zh-CN"/>
              </w:rPr>
              <w:t>2024</w:t>
            </w:r>
            <w:r>
              <w:rPr>
                <w:rFonts w:hint="eastAsia" w:ascii="宋体"/>
                <w:szCs w:val="21"/>
              </w:rPr>
              <w:t>13、</w:t>
            </w:r>
            <w:r>
              <w:rPr>
                <w:rFonts w:hint="eastAsia" w:ascii="宋体"/>
                <w:szCs w:val="21"/>
                <w:lang w:eastAsia="zh-CN"/>
              </w:rPr>
              <w:t>2024</w:t>
            </w:r>
            <w:r>
              <w:rPr>
                <w:rFonts w:hint="eastAsia" w:ascii="宋体"/>
                <w:szCs w:val="21"/>
              </w:rPr>
              <w:t>14、</w:t>
            </w:r>
            <w:r>
              <w:rPr>
                <w:rFonts w:hint="eastAsia" w:ascii="宋体"/>
                <w:szCs w:val="21"/>
                <w:lang w:eastAsia="zh-CN"/>
              </w:rPr>
              <w:t>2024</w:t>
            </w:r>
            <w:r>
              <w:rPr>
                <w:rFonts w:hint="eastAsia" w:ascii="宋体"/>
                <w:szCs w:val="21"/>
              </w:rPr>
              <w:t>15</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eastAsia="宋体"/>
                <w:szCs w:val="21"/>
                <w:lang w:eastAsia="zh-CN"/>
              </w:rPr>
            </w:pPr>
            <w:r>
              <w:rPr>
                <w:rFonts w:hint="eastAsia" w:ascii="宋体"/>
                <w:szCs w:val="21"/>
                <w:lang w:eastAsia="zh-CN"/>
              </w:rPr>
              <w:t>2024</w:t>
            </w:r>
            <w:r>
              <w:rPr>
                <w:rFonts w:hint="eastAsia" w:ascii="宋体"/>
                <w:szCs w:val="21"/>
              </w:rPr>
              <w:t>-</w:t>
            </w:r>
            <w:r>
              <w:rPr>
                <w:rFonts w:hint="eastAsia" w:ascii="宋体"/>
                <w:szCs w:val="21"/>
                <w:lang w:val="en-US" w:eastAsia="zh-CN"/>
              </w:rPr>
              <w:t>6</w:t>
            </w:r>
            <w:r>
              <w:rPr>
                <w:rFonts w:hint="eastAsia" w:ascii="宋体"/>
                <w:szCs w:val="21"/>
              </w:rPr>
              <w:t>-</w:t>
            </w:r>
            <w:r>
              <w:rPr>
                <w:rFonts w:hint="eastAsia" w:ascii="宋体"/>
                <w:szCs w:val="21"/>
                <w:lang w:val="en-US" w:eastAsia="zh-CN"/>
              </w:rPr>
              <w:t>5</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szCs w:val="21"/>
                <w:lang w:val="en-US" w:eastAsia="zh-CN"/>
              </w:rPr>
            </w:pP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6</w:t>
            </w:r>
            <w:r>
              <w:rPr>
                <w:rFonts w:hint="eastAsia" w:ascii="宋体" w:hAnsi="宋体"/>
                <w:szCs w:val="21"/>
              </w:rPr>
              <w:t>-</w:t>
            </w:r>
            <w:r>
              <w:rPr>
                <w:rFonts w:hint="eastAsia" w:ascii="宋体" w:hAnsi="宋体"/>
                <w:szCs w:val="21"/>
                <w:lang w:val="en-US" w:eastAsia="zh-CN"/>
              </w:rPr>
              <w:t>5</w:t>
            </w:r>
            <w:r>
              <w:rPr>
                <w:rFonts w:hint="eastAsia" w:ascii="宋体" w:hAnsi="宋体"/>
                <w:szCs w:val="21"/>
              </w:rPr>
              <w:t>至</w:t>
            </w: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6</w:t>
            </w:r>
            <w:r>
              <w:rPr>
                <w:rFonts w:hint="eastAsia" w:ascii="宋体" w:hAnsi="宋体"/>
                <w:szCs w:val="21"/>
              </w:rPr>
              <w:t>-</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第二次</w:t>
            </w:r>
          </w:p>
        </w:tc>
        <w:tc>
          <w:tcPr>
            <w:tcW w:w="2835" w:type="dxa"/>
            <w:tcBorders>
              <w:top w:val="single" w:color="auto" w:sz="4" w:space="0"/>
              <w:left w:val="single" w:color="auto" w:sz="4" w:space="0"/>
              <w:bottom w:val="single" w:color="auto" w:sz="4" w:space="0"/>
              <w:right w:val="single" w:color="auto" w:sz="4" w:space="0"/>
            </w:tcBorders>
          </w:tcPr>
          <w:p>
            <w:pPr>
              <w:rPr>
                <w:rFonts w:ascii="宋体"/>
                <w:szCs w:val="21"/>
              </w:rPr>
            </w:pPr>
            <w:r>
              <w:rPr>
                <w:rFonts w:hint="eastAsia" w:ascii="宋体"/>
                <w:szCs w:val="21"/>
                <w:lang w:eastAsia="zh-CN"/>
              </w:rPr>
              <w:t>2024</w:t>
            </w:r>
            <w:r>
              <w:rPr>
                <w:rFonts w:hint="eastAsia" w:ascii="宋体"/>
                <w:szCs w:val="21"/>
              </w:rPr>
              <w:t>21、</w:t>
            </w:r>
            <w:r>
              <w:rPr>
                <w:rFonts w:hint="eastAsia" w:ascii="宋体"/>
                <w:szCs w:val="21"/>
                <w:lang w:eastAsia="zh-CN"/>
              </w:rPr>
              <w:t>2024</w:t>
            </w:r>
            <w:r>
              <w:rPr>
                <w:rFonts w:hint="eastAsia" w:ascii="宋体"/>
                <w:szCs w:val="21"/>
              </w:rPr>
              <w:t>22、</w:t>
            </w:r>
            <w:r>
              <w:rPr>
                <w:rFonts w:hint="eastAsia" w:ascii="宋体"/>
                <w:szCs w:val="21"/>
                <w:lang w:eastAsia="zh-CN"/>
              </w:rPr>
              <w:t>2024</w:t>
            </w:r>
            <w:r>
              <w:rPr>
                <w:rFonts w:hint="eastAsia" w:ascii="宋体"/>
                <w:szCs w:val="21"/>
              </w:rPr>
              <w:t>23、</w:t>
            </w:r>
            <w:r>
              <w:rPr>
                <w:rFonts w:hint="eastAsia" w:ascii="宋体"/>
                <w:szCs w:val="21"/>
                <w:lang w:eastAsia="zh-CN"/>
              </w:rPr>
              <w:t>2024</w:t>
            </w:r>
            <w:r>
              <w:rPr>
                <w:rFonts w:hint="eastAsia" w:ascii="宋体"/>
                <w:szCs w:val="21"/>
              </w:rPr>
              <w:t>24、</w:t>
            </w:r>
            <w:r>
              <w:rPr>
                <w:rFonts w:hint="eastAsia" w:ascii="宋体"/>
                <w:szCs w:val="21"/>
                <w:lang w:eastAsia="zh-CN"/>
              </w:rPr>
              <w:t>2024</w:t>
            </w:r>
            <w:r>
              <w:rPr>
                <w:rFonts w:hint="eastAsia" w:ascii="宋体"/>
                <w:szCs w:val="21"/>
              </w:rPr>
              <w:t>25</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eastAsia="宋体"/>
                <w:szCs w:val="21"/>
                <w:lang w:val="en-US" w:eastAsia="zh-CN"/>
              </w:rPr>
            </w:pPr>
            <w:r>
              <w:rPr>
                <w:rFonts w:hint="eastAsia" w:ascii="宋体"/>
                <w:szCs w:val="21"/>
                <w:lang w:eastAsia="zh-CN"/>
              </w:rPr>
              <w:t>2024</w:t>
            </w:r>
            <w:r>
              <w:rPr>
                <w:rFonts w:hint="eastAsia" w:ascii="宋体"/>
                <w:szCs w:val="21"/>
              </w:rPr>
              <w:t>-</w:t>
            </w:r>
            <w:r>
              <w:rPr>
                <w:rFonts w:hint="eastAsia" w:ascii="宋体"/>
                <w:szCs w:val="21"/>
                <w:lang w:val="en-US" w:eastAsia="zh-CN"/>
              </w:rPr>
              <w:t>9</w:t>
            </w:r>
            <w:r>
              <w:rPr>
                <w:rFonts w:hint="eastAsia" w:ascii="宋体"/>
                <w:szCs w:val="21"/>
              </w:rPr>
              <w:t>-</w:t>
            </w:r>
            <w:r>
              <w:rPr>
                <w:rFonts w:hint="eastAsia" w:ascii="宋体"/>
                <w:szCs w:val="21"/>
                <w:lang w:val="en-US" w:eastAsia="zh-CN"/>
              </w:rPr>
              <w:t>4</w:t>
            </w:r>
            <w:bookmarkStart w:id="0" w:name="_GoBack"/>
            <w:bookmarkEnd w:id="0"/>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szCs w:val="21"/>
                <w:lang w:val="en-US" w:eastAsia="zh-CN"/>
              </w:rPr>
            </w:pP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4</w:t>
            </w:r>
            <w:r>
              <w:rPr>
                <w:rFonts w:hint="eastAsia" w:ascii="宋体" w:hAnsi="宋体"/>
                <w:szCs w:val="21"/>
              </w:rPr>
              <w:t>至</w:t>
            </w: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13</w:t>
            </w:r>
          </w:p>
        </w:tc>
      </w:tr>
    </w:tbl>
    <w:p>
      <w:pPr>
        <w:rPr>
          <w:rFonts w:ascii="宋体"/>
          <w:sz w:val="24"/>
        </w:rPr>
      </w:pPr>
    </w:p>
    <w:p>
      <w:pPr>
        <w:numPr>
          <w:ilvl w:val="0"/>
          <w:numId w:val="1"/>
        </w:numPr>
        <w:rPr>
          <w:rFonts w:ascii="宋体"/>
          <w:sz w:val="24"/>
        </w:rPr>
      </w:pPr>
      <w:r>
        <w:rPr>
          <w:rFonts w:hint="eastAsia" w:ascii="宋体"/>
          <w:sz w:val="24"/>
        </w:rPr>
        <w:t>质评样本保存及处理：</w:t>
      </w:r>
    </w:p>
    <w:p>
      <w:pPr>
        <w:pStyle w:val="6"/>
        <w:numPr>
          <w:ilvl w:val="3"/>
          <w:numId w:val="1"/>
        </w:numPr>
        <w:tabs>
          <w:tab w:val="left" w:pos="946"/>
          <w:tab w:val="clear" w:pos="1680"/>
        </w:tabs>
        <w:ind w:firstLineChars="0"/>
        <w:rPr>
          <w:rFonts w:ascii="宋体"/>
          <w:bCs/>
          <w:sz w:val="24"/>
        </w:rPr>
      </w:pPr>
      <w:r>
        <w:rPr>
          <w:rFonts w:hint="eastAsia" w:ascii="宋体"/>
          <w:bCs/>
          <w:sz w:val="24"/>
        </w:rPr>
        <w:t>质评样本为液体血清，</w:t>
      </w:r>
      <w:r>
        <w:rPr>
          <w:rFonts w:ascii="宋体"/>
          <w:bCs/>
          <w:sz w:val="24"/>
        </w:rPr>
        <w:t>0.5ml/</w:t>
      </w:r>
      <w:r>
        <w:rPr>
          <w:rFonts w:hint="eastAsia" w:ascii="宋体"/>
          <w:bCs/>
          <w:sz w:val="24"/>
        </w:rPr>
        <w:t>支，冷冻在</w:t>
      </w:r>
      <w:r>
        <w:rPr>
          <w:rFonts w:ascii="宋体"/>
          <w:bCs/>
          <w:sz w:val="24"/>
        </w:rPr>
        <w:t>-</w:t>
      </w:r>
      <w:r>
        <w:rPr>
          <w:rFonts w:hint="eastAsia" w:ascii="宋体"/>
          <w:bCs/>
          <w:sz w:val="24"/>
        </w:rPr>
        <w:t>20º</w:t>
      </w:r>
      <w:r>
        <w:rPr>
          <w:rFonts w:ascii="宋体"/>
          <w:bCs/>
          <w:sz w:val="24"/>
        </w:rPr>
        <w:t>C</w:t>
      </w:r>
      <w:r>
        <w:rPr>
          <w:rFonts w:hint="eastAsia" w:ascii="宋体"/>
          <w:bCs/>
          <w:sz w:val="24"/>
        </w:rPr>
        <w:t>以下。</w:t>
      </w:r>
    </w:p>
    <w:p>
      <w:pPr>
        <w:pStyle w:val="6"/>
        <w:numPr>
          <w:ilvl w:val="3"/>
          <w:numId w:val="1"/>
        </w:numPr>
        <w:ind w:firstLineChars="0"/>
        <w:rPr>
          <w:rFonts w:ascii="宋体"/>
          <w:bCs/>
          <w:sz w:val="24"/>
        </w:rPr>
      </w:pPr>
      <w:r>
        <w:rPr>
          <w:rFonts w:ascii="宋体"/>
          <w:bCs/>
          <w:sz w:val="24"/>
        </w:rPr>
        <w:t>收到质控</w:t>
      </w:r>
      <w:r>
        <w:rPr>
          <w:rFonts w:hint="eastAsia" w:ascii="宋体"/>
          <w:bCs/>
          <w:sz w:val="24"/>
        </w:rPr>
        <w:t>样本</w:t>
      </w:r>
      <w:r>
        <w:rPr>
          <w:rFonts w:ascii="宋体"/>
          <w:bCs/>
          <w:sz w:val="24"/>
        </w:rPr>
        <w:t>后，应立即检查</w:t>
      </w:r>
      <w:r>
        <w:rPr>
          <w:rFonts w:hint="eastAsia" w:ascii="宋体"/>
          <w:bCs/>
          <w:sz w:val="24"/>
        </w:rPr>
        <w:t>样本</w:t>
      </w:r>
      <w:r>
        <w:rPr>
          <w:rFonts w:ascii="宋体"/>
          <w:bCs/>
          <w:sz w:val="24"/>
        </w:rPr>
        <w:t>的批号、数量是否与活动安排相符，检查</w:t>
      </w:r>
      <w:r>
        <w:rPr>
          <w:rFonts w:hint="eastAsia" w:ascii="宋体"/>
          <w:bCs/>
          <w:sz w:val="24"/>
        </w:rPr>
        <w:t>样本</w:t>
      </w:r>
      <w:r>
        <w:rPr>
          <w:rFonts w:ascii="宋体"/>
          <w:bCs/>
          <w:sz w:val="24"/>
        </w:rPr>
        <w:t>是否渗漏。如发现问题请在第一次质评开始之前与</w:t>
      </w:r>
      <w:r>
        <w:rPr>
          <w:rFonts w:hint="eastAsia" w:ascii="宋体"/>
          <w:bCs/>
          <w:sz w:val="24"/>
        </w:rPr>
        <w:t>北京市临检中心</w:t>
      </w:r>
      <w:r>
        <w:rPr>
          <w:rFonts w:ascii="宋体"/>
          <w:bCs/>
          <w:sz w:val="24"/>
        </w:rPr>
        <w:t>联</w:t>
      </w:r>
      <w:r>
        <w:rPr>
          <w:rFonts w:hint="eastAsia" w:ascii="宋体"/>
          <w:bCs/>
          <w:sz w:val="24"/>
        </w:rPr>
        <w:t>系。</w:t>
      </w:r>
    </w:p>
    <w:p>
      <w:pPr>
        <w:pStyle w:val="6"/>
        <w:numPr>
          <w:ilvl w:val="3"/>
          <w:numId w:val="1"/>
        </w:numPr>
        <w:ind w:firstLineChars="0"/>
        <w:rPr>
          <w:rFonts w:ascii="宋体"/>
          <w:sz w:val="24"/>
        </w:rPr>
      </w:pPr>
      <w:r>
        <w:rPr>
          <w:rFonts w:hint="eastAsia" w:ascii="宋体"/>
          <w:bCs/>
          <w:sz w:val="24"/>
        </w:rPr>
        <w:t>应避免反复冻融和重新分装。</w:t>
      </w:r>
    </w:p>
    <w:p>
      <w:pPr>
        <w:pStyle w:val="6"/>
        <w:numPr>
          <w:ilvl w:val="3"/>
          <w:numId w:val="1"/>
        </w:numPr>
        <w:ind w:firstLineChars="0"/>
        <w:rPr>
          <w:rFonts w:ascii="宋体"/>
          <w:sz w:val="24"/>
        </w:rPr>
      </w:pPr>
      <w:r>
        <w:rPr>
          <w:rFonts w:hint="eastAsia"/>
          <w:b/>
          <w:color w:val="000000"/>
          <w:u w:val="single"/>
        </w:rPr>
        <w:t>本质评项目同时适用于开展“HPV基因型检测”和“HPV高危型/低危型检测”的临床实验室。</w:t>
      </w:r>
    </w:p>
    <w:p>
      <w:pPr>
        <w:pStyle w:val="6"/>
        <w:numPr>
          <w:ilvl w:val="3"/>
          <w:numId w:val="1"/>
        </w:numPr>
        <w:ind w:firstLineChars="0"/>
        <w:rPr>
          <w:rFonts w:ascii="宋体"/>
          <w:sz w:val="24"/>
        </w:rPr>
      </w:pPr>
      <w:r>
        <w:rPr>
          <w:rFonts w:hint="eastAsia" w:ascii="宋体"/>
          <w:bCs/>
          <w:sz w:val="24"/>
        </w:rPr>
        <w:t>样本处理方法：</w:t>
      </w:r>
      <w:r>
        <w:rPr>
          <w:rFonts w:ascii="宋体"/>
          <w:bCs/>
          <w:sz w:val="24"/>
        </w:rPr>
        <w:t>检测时室温复融，</w:t>
      </w:r>
      <w:r>
        <w:rPr>
          <w:rFonts w:hint="eastAsia" w:ascii="宋体"/>
          <w:bCs/>
          <w:sz w:val="24"/>
        </w:rPr>
        <w:t>充分混匀后，</w:t>
      </w:r>
      <w:r>
        <w:rPr>
          <w:rFonts w:hint="eastAsia" w:ascii="宋体"/>
          <w:b/>
          <w:bCs/>
          <w:color w:val="FF0000"/>
          <w:sz w:val="24"/>
          <w:u w:val="single"/>
        </w:rPr>
        <w:t>按照已提取的核酸样本对待，</w:t>
      </w:r>
      <w:r>
        <w:rPr>
          <w:rFonts w:ascii="宋体"/>
          <w:b/>
          <w:bCs/>
          <w:color w:val="FF0000"/>
          <w:sz w:val="24"/>
          <w:u w:val="single"/>
        </w:rPr>
        <w:t>其后步骤按试剂盒具体操作</w:t>
      </w:r>
      <w:r>
        <w:rPr>
          <w:rFonts w:hint="eastAsia" w:ascii="宋体"/>
          <w:b/>
          <w:bCs/>
          <w:color w:val="FF0000"/>
          <w:sz w:val="24"/>
          <w:u w:val="single"/>
        </w:rPr>
        <w:t>说明</w:t>
      </w:r>
      <w:r>
        <w:rPr>
          <w:rFonts w:ascii="宋体"/>
          <w:b/>
          <w:bCs/>
          <w:color w:val="FF0000"/>
          <w:sz w:val="24"/>
          <w:u w:val="single"/>
        </w:rPr>
        <w:t>进行</w:t>
      </w:r>
      <w:r>
        <w:rPr>
          <w:rFonts w:hint="eastAsia" w:ascii="宋体"/>
          <w:bCs/>
          <w:sz w:val="24"/>
        </w:rPr>
        <w:t>。</w:t>
      </w:r>
    </w:p>
    <w:p>
      <w:pPr>
        <w:pStyle w:val="6"/>
        <w:numPr>
          <w:ilvl w:val="3"/>
          <w:numId w:val="1"/>
        </w:numPr>
        <w:ind w:firstLineChars="0"/>
        <w:rPr>
          <w:rFonts w:ascii="宋体"/>
          <w:bCs/>
          <w:sz w:val="24"/>
        </w:rPr>
      </w:pPr>
      <w:r>
        <w:rPr>
          <w:rFonts w:hint="eastAsia" w:ascii="宋体"/>
          <w:bCs/>
          <w:sz w:val="24"/>
        </w:rPr>
        <w:t>质评样品的检测应与病人标本相同，并以潜在传染性物品处理。</w:t>
      </w:r>
    </w:p>
    <w:p>
      <w:pPr>
        <w:rPr>
          <w:rFonts w:ascii="宋体"/>
          <w:bCs/>
          <w:sz w:val="24"/>
        </w:rPr>
      </w:pPr>
    </w:p>
    <w:p>
      <w:pPr>
        <w:numPr>
          <w:ilvl w:val="0"/>
          <w:numId w:val="1"/>
        </w:numPr>
        <w:rPr>
          <w:rFonts w:ascii="宋体"/>
          <w:sz w:val="24"/>
        </w:rPr>
      </w:pPr>
      <w:r>
        <w:rPr>
          <w:rFonts w:hint="eastAsia" w:ascii="宋体"/>
          <w:sz w:val="24"/>
        </w:rPr>
        <w:t>室间质评数据网络填报及传输要求：</w:t>
      </w:r>
    </w:p>
    <w:p>
      <w:pPr>
        <w:ind w:left="900"/>
        <w:rPr>
          <w:rFonts w:ascii="宋体"/>
          <w:sz w:val="24"/>
        </w:rPr>
      </w:pPr>
      <w:r>
        <w:rPr>
          <w:rFonts w:hint="eastAsia" w:ascii="宋体"/>
          <w:sz w:val="24"/>
        </w:rPr>
        <w:t xml:space="preserve">  </w:t>
      </w:r>
      <w:r>
        <w:rPr>
          <w:rFonts w:hint="eastAsia" w:ascii="宋体"/>
          <w:b/>
          <w:sz w:val="24"/>
        </w:rPr>
        <w:t xml:space="preserve"> </w:t>
      </w:r>
      <w:r>
        <w:rPr>
          <w:rFonts w:hint="eastAsia" w:ascii="宋体"/>
          <w:sz w:val="24"/>
        </w:rPr>
        <w:t>结果回报要填写完整，要求明确填出阴性（</w:t>
      </w:r>
      <w:r>
        <w:rPr>
          <w:rFonts w:ascii="宋体"/>
          <w:sz w:val="24"/>
        </w:rPr>
        <w:sym w:font="Symbol" w:char="F02D"/>
      </w:r>
      <w:r>
        <w:rPr>
          <w:rFonts w:hint="eastAsia" w:ascii="宋体"/>
          <w:sz w:val="24"/>
        </w:rPr>
        <w:t>）或阳性（＋），不能有可疑结果。如检出存在该项目的基因型，请填写“阳性（＋）”；如不存在该项目的基因型，请填写“阴性（</w:t>
      </w:r>
      <w:r>
        <w:rPr>
          <w:rFonts w:ascii="宋体"/>
          <w:sz w:val="24"/>
        </w:rPr>
        <w:sym w:font="Symbol" w:char="F02D"/>
      </w:r>
      <w:r>
        <w:rPr>
          <w:rFonts w:hint="eastAsia" w:ascii="宋体"/>
          <w:sz w:val="24"/>
        </w:rPr>
        <w:t>）</w:t>
      </w:r>
      <w:r>
        <w:rPr>
          <w:rFonts w:ascii="宋体"/>
          <w:sz w:val="24"/>
        </w:rPr>
        <w:t>”</w:t>
      </w:r>
      <w:r>
        <w:rPr>
          <w:rFonts w:hint="eastAsia" w:ascii="宋体"/>
          <w:sz w:val="24"/>
        </w:rPr>
        <w:t>。</w:t>
      </w:r>
      <w:r>
        <w:rPr>
          <w:rFonts w:ascii="宋体"/>
          <w:sz w:val="24"/>
        </w:rPr>
        <w:t>最后检测结果必须明确</w:t>
      </w:r>
      <w:r>
        <w:rPr>
          <w:rFonts w:hint="eastAsia" w:ascii="宋体"/>
          <w:sz w:val="24"/>
        </w:rPr>
        <w:t>阴性（</w:t>
      </w:r>
      <w:r>
        <w:rPr>
          <w:rFonts w:ascii="宋体"/>
          <w:sz w:val="24"/>
        </w:rPr>
        <w:sym w:font="Symbol" w:char="F02D"/>
      </w:r>
      <w:r>
        <w:rPr>
          <w:rFonts w:hint="eastAsia" w:ascii="宋体"/>
          <w:sz w:val="24"/>
        </w:rPr>
        <w:t>）</w:t>
      </w:r>
      <w:r>
        <w:rPr>
          <w:rFonts w:ascii="宋体"/>
          <w:sz w:val="24"/>
        </w:rPr>
        <w:t>或</w:t>
      </w:r>
      <w:r>
        <w:rPr>
          <w:rFonts w:hint="eastAsia" w:ascii="宋体"/>
          <w:sz w:val="24"/>
        </w:rPr>
        <w:t>阳性（＋）</w:t>
      </w:r>
      <w:r>
        <w:rPr>
          <w:rFonts w:ascii="宋体"/>
          <w:sz w:val="24"/>
        </w:rPr>
        <w:t>，不能有可疑结果。</w:t>
      </w:r>
    </w:p>
    <w:p>
      <w:pPr>
        <w:pStyle w:val="6"/>
        <w:spacing w:line="360" w:lineRule="exact"/>
        <w:ind w:left="900" w:firstLine="360" w:firstLineChars="150"/>
        <w:rPr>
          <w:rFonts w:ascii="宋体"/>
          <w:color w:val="FF0000"/>
          <w:sz w:val="24"/>
        </w:rPr>
      </w:pPr>
      <w:r>
        <w:rPr>
          <w:rFonts w:hint="eastAsia" w:ascii="宋体"/>
          <w:color w:val="FF0000"/>
          <w:sz w:val="24"/>
        </w:rPr>
        <w:t>如您的实验室仅能检测高危型和/或低危型，不能区分具体的基因型，请在“HPV高危型”和/或“HPV低危型”项目中，填写“阴性”或“阳性”结果</w:t>
      </w:r>
      <w:r>
        <w:rPr>
          <w:rFonts w:ascii="宋体"/>
          <w:color w:val="FF0000"/>
          <w:sz w:val="24"/>
        </w:rPr>
        <w:t>，不需填写具体分型</w:t>
      </w:r>
      <w:r>
        <w:rPr>
          <w:rFonts w:hint="eastAsia" w:ascii="宋体"/>
          <w:color w:val="FF0000"/>
          <w:sz w:val="24"/>
        </w:rPr>
        <w:t>；</w:t>
      </w:r>
    </w:p>
    <w:p>
      <w:pPr>
        <w:pStyle w:val="6"/>
        <w:spacing w:line="360" w:lineRule="exact"/>
        <w:ind w:left="900" w:firstLine="360" w:firstLineChars="150"/>
        <w:rPr>
          <w:rFonts w:ascii="宋体"/>
          <w:color w:val="FF0000"/>
          <w:sz w:val="24"/>
        </w:rPr>
      </w:pPr>
      <w:r>
        <w:rPr>
          <w:rFonts w:hint="eastAsia" w:ascii="宋体"/>
          <w:color w:val="FF0000"/>
          <w:sz w:val="24"/>
        </w:rPr>
        <w:t>如您的实验室可区分具体基因型，请在相应基因型一栏中填写“阴性”或“阳性”结果，不需填写“HPV高危型”和 “HPV低危型”的结果。</w:t>
      </w:r>
    </w:p>
    <w:p>
      <w:pPr>
        <w:ind w:left="900"/>
        <w:rPr>
          <w:rFonts w:ascii="宋体"/>
          <w:sz w:val="24"/>
        </w:rPr>
      </w:pPr>
    </w:p>
    <w:p>
      <w:pPr>
        <w:ind w:left="862" w:firstLine="360" w:firstLineChars="150"/>
        <w:rPr>
          <w:rFonts w:ascii="宋体"/>
          <w:sz w:val="24"/>
        </w:rPr>
      </w:pPr>
      <w:r>
        <w:rPr>
          <w:rFonts w:hint="eastAsia" w:ascii="宋体"/>
          <w:sz w:val="24"/>
        </w:rPr>
        <w:t>仪器、方法、试剂编码填写时，请参照北京市临床检验中心</w:t>
      </w:r>
      <w:r>
        <w:rPr>
          <w:rFonts w:hint="eastAsia" w:ascii="宋体"/>
          <w:sz w:val="24"/>
          <w:lang w:eastAsia="zh-CN"/>
        </w:rPr>
        <w:t>2024</w:t>
      </w:r>
      <w:r>
        <w:rPr>
          <w:rFonts w:hint="eastAsia" w:ascii="宋体"/>
          <w:sz w:val="24"/>
        </w:rPr>
        <w:t>年编码表填写相应的编码，若相关内容超出编码表范围，请在纸质回报表上填写具体内容并将回报表回报至北京市临床检验中心。</w:t>
      </w:r>
    </w:p>
    <w:p>
      <w:pPr>
        <w:ind w:left="1050" w:leftChars="500" w:firstLine="120" w:firstLineChars="50"/>
        <w:rPr>
          <w:rFonts w:ascii="宋体"/>
          <w:sz w:val="24"/>
        </w:rPr>
      </w:pPr>
      <w:r>
        <w:rPr>
          <w:rFonts w:hint="eastAsia" w:ascii="宋体"/>
          <w:sz w:val="24"/>
        </w:rPr>
        <w:t>请认真填写好测定结果，如有单位错误、误填，恕不做更改。</w:t>
      </w:r>
    </w:p>
    <w:p>
      <w:pPr>
        <w:ind w:left="718" w:leftChars="342" w:firstLine="120" w:firstLineChars="50"/>
        <w:rPr>
          <w:rFonts w:ascii="宋体"/>
          <w:sz w:val="24"/>
        </w:rPr>
      </w:pPr>
      <w:r>
        <w:rPr>
          <w:rFonts w:hint="eastAsia" w:ascii="宋体"/>
          <w:sz w:val="24"/>
        </w:rPr>
        <w:t>传输要求见“北京市临床检验中心</w:t>
      </w:r>
      <w:r>
        <w:rPr>
          <w:rFonts w:hint="eastAsia" w:ascii="宋体"/>
          <w:sz w:val="24"/>
          <w:lang w:eastAsia="zh-CN"/>
        </w:rPr>
        <w:t>2024</w:t>
      </w:r>
      <w:r>
        <w:rPr>
          <w:rFonts w:hint="eastAsia" w:ascii="宋体"/>
          <w:sz w:val="24"/>
        </w:rPr>
        <w:t>年室间质评数据网络传输的相关说明”。</w:t>
      </w:r>
    </w:p>
    <w:p>
      <w:pPr>
        <w:ind w:left="718" w:leftChars="342"/>
        <w:rPr>
          <w:rFonts w:ascii="宋体"/>
          <w:sz w:val="24"/>
        </w:rPr>
      </w:pPr>
    </w:p>
    <w:p>
      <w:pPr>
        <w:numPr>
          <w:ilvl w:val="0"/>
          <w:numId w:val="1"/>
        </w:numPr>
        <w:rPr>
          <w:rFonts w:ascii="宋体"/>
          <w:sz w:val="24"/>
        </w:rPr>
      </w:pPr>
      <w:r>
        <w:rPr>
          <w:rFonts w:hint="eastAsia" w:ascii="宋体"/>
          <w:sz w:val="24"/>
        </w:rPr>
        <w:t>联系方式：</w:t>
      </w:r>
    </w:p>
    <w:p>
      <w:pPr>
        <w:ind w:left="720"/>
        <w:rPr>
          <w:rFonts w:ascii="宋体"/>
          <w:sz w:val="24"/>
        </w:rPr>
      </w:pPr>
      <w:r>
        <w:rPr>
          <w:rFonts w:hint="eastAsia" w:ascii="宋体"/>
          <w:sz w:val="24"/>
        </w:rPr>
        <w:t xml:space="preserve">地址：北京市朝阳区南三里屯路35号院210室 </w:t>
      </w:r>
    </w:p>
    <w:p>
      <w:pPr>
        <w:ind w:firstLine="1440" w:firstLineChars="600"/>
        <w:rPr>
          <w:rFonts w:ascii="宋体"/>
          <w:sz w:val="24"/>
        </w:rPr>
      </w:pPr>
      <w:r>
        <w:rPr>
          <w:rFonts w:hint="eastAsia" w:ascii="宋体"/>
          <w:sz w:val="24"/>
        </w:rPr>
        <w:t>北京市临床检验中心核酸检测（病毒学</w:t>
      </w:r>
      <w:r>
        <w:rPr>
          <w:rFonts w:ascii="宋体"/>
          <w:sz w:val="24"/>
        </w:rPr>
        <w:t>）</w:t>
      </w:r>
      <w:r>
        <w:rPr>
          <w:rFonts w:hint="eastAsia" w:ascii="宋体"/>
          <w:sz w:val="24"/>
        </w:rPr>
        <w:t>组</w:t>
      </w:r>
    </w:p>
    <w:p>
      <w:pPr>
        <w:ind w:firstLine="480" w:firstLineChars="200"/>
        <w:rPr>
          <w:rFonts w:ascii="宋体"/>
          <w:sz w:val="24"/>
        </w:rPr>
      </w:pPr>
      <w:r>
        <w:rPr>
          <w:rFonts w:hint="eastAsia" w:ascii="宋体"/>
          <w:sz w:val="24"/>
        </w:rPr>
        <w:t xml:space="preserve">  邮    编：100020</w:t>
      </w:r>
    </w:p>
    <w:p>
      <w:pPr>
        <w:ind w:left="720"/>
        <w:rPr>
          <w:rFonts w:ascii="宋体"/>
          <w:sz w:val="24"/>
        </w:rPr>
      </w:pPr>
      <w:r>
        <w:rPr>
          <w:rFonts w:hint="eastAsia" w:ascii="宋体"/>
          <w:sz w:val="24"/>
        </w:rPr>
        <w:t>联系电话：</w:t>
      </w:r>
      <w:r>
        <w:rPr>
          <w:rFonts w:ascii="宋体"/>
          <w:sz w:val="24"/>
        </w:rPr>
        <w:t>85231660</w:t>
      </w:r>
    </w:p>
    <w:p>
      <w:pPr>
        <w:ind w:firstLine="720" w:firstLineChars="300"/>
        <w:rPr>
          <w:rFonts w:ascii="宋体"/>
          <w:sz w:val="24"/>
        </w:rPr>
      </w:pPr>
      <w:r>
        <w:rPr>
          <w:rFonts w:hint="eastAsia" w:ascii="宋体"/>
          <w:sz w:val="24"/>
        </w:rPr>
        <w:t>联 系 人：</w:t>
      </w:r>
      <w:r>
        <w:rPr>
          <w:rFonts w:ascii="宋体"/>
          <w:sz w:val="24"/>
        </w:rPr>
        <w:t>贾婷婷</w:t>
      </w:r>
    </w:p>
    <w:p>
      <w:pPr>
        <w:rPr>
          <w:rFonts w:ascii="宋体"/>
          <w:sz w:val="24"/>
        </w:rPr>
      </w:pPr>
    </w:p>
    <w:p>
      <w:pPr>
        <w:rPr>
          <w:rFonts w:ascii="宋体"/>
          <w:sz w:val="24"/>
        </w:rPr>
      </w:pPr>
      <w:r>
        <w:rPr>
          <w:rFonts w:hint="eastAsia" w:ascii="宋体"/>
          <w:sz w:val="24"/>
        </w:rPr>
        <w:t xml:space="preserve"> </w:t>
      </w:r>
    </w:p>
    <w:p>
      <w:pPr>
        <w:ind w:firstLine="3120" w:firstLineChars="1300"/>
        <w:rPr>
          <w:rFonts w:ascii="宋体"/>
          <w:sz w:val="24"/>
        </w:rPr>
      </w:pPr>
      <w:r>
        <w:rPr>
          <w:rFonts w:hint="eastAsia" w:ascii="宋体"/>
          <w:sz w:val="24"/>
        </w:rPr>
        <w:t>北京市临床检验中心核酸检测（病毒学</w:t>
      </w:r>
      <w:r>
        <w:rPr>
          <w:rFonts w:ascii="宋体"/>
          <w:sz w:val="24"/>
        </w:rPr>
        <w:t>）</w:t>
      </w:r>
      <w:r>
        <w:rPr>
          <w:rFonts w:hint="eastAsia" w:ascii="宋体"/>
          <w:sz w:val="24"/>
        </w:rPr>
        <w:t>组</w:t>
      </w:r>
    </w:p>
    <w:p>
      <w:pPr>
        <w:ind w:firstLine="4680" w:firstLineChars="1950"/>
        <w:rPr>
          <w:rFonts w:ascii="宋体"/>
          <w:sz w:val="24"/>
        </w:rPr>
      </w:pPr>
      <w:r>
        <w:rPr>
          <w:rFonts w:hint="eastAsia" w:ascii="宋体"/>
          <w:sz w:val="24"/>
          <w:lang w:eastAsia="zh-CN"/>
        </w:rPr>
        <w:t>2024</w:t>
      </w:r>
      <w:r>
        <w:rPr>
          <w:rFonts w:hint="eastAsia" w:ascii="宋体"/>
          <w:sz w:val="24"/>
        </w:rPr>
        <w:t>年</w:t>
      </w:r>
      <w:r>
        <w:rPr>
          <w:rFonts w:hint="eastAsia" w:ascii="宋体"/>
          <w:sz w:val="24"/>
          <w:lang w:val="en-US" w:eastAsia="zh-CN"/>
        </w:rPr>
        <w:t>5</w:t>
      </w:r>
      <w:r>
        <w:rPr>
          <w:rFonts w:hint="eastAsia" w:ascii="宋体"/>
          <w:sz w:val="24"/>
        </w:rPr>
        <w:t>月</w:t>
      </w:r>
      <w:r>
        <w:rPr>
          <w:rFonts w:hint="eastAsia" w:ascii="宋体"/>
          <w:sz w:val="24"/>
          <w:lang w:val="en-US" w:eastAsia="zh-CN"/>
        </w:rPr>
        <w:t>30</w:t>
      </w:r>
      <w:r>
        <w:rPr>
          <w:rFonts w:hint="eastAsia" w:ascii="宋体"/>
          <w:sz w:val="24"/>
        </w:rPr>
        <w:t xml:space="preserve">日   </w:t>
      </w:r>
    </w:p>
    <w:p/>
    <w:p>
      <w:pPr>
        <w:rPr>
          <w:rFonts w:ascii="宋体"/>
          <w:bCs/>
          <w:sz w:val="24"/>
        </w:rPr>
      </w:pPr>
    </w:p>
    <w:p>
      <w:pPr>
        <w:pStyle w:val="6"/>
        <w:ind w:left="1680" w:firstLine="0" w:firstLineChars="0"/>
        <w:rPr>
          <w:rFonts w:ascii="宋体"/>
          <w:bCs/>
          <w:sz w:val="24"/>
        </w:rPr>
      </w:pPr>
    </w:p>
    <w:p>
      <w:pPr>
        <w:pStyle w:val="6"/>
        <w:ind w:left="1680" w:firstLine="0" w:firstLineChars="0"/>
        <w:rPr>
          <w:rFonts w:ascii="宋体"/>
          <w:bCs/>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B7301"/>
    <w:multiLevelType w:val="multilevel"/>
    <w:tmpl w:val="648B7301"/>
    <w:lvl w:ilvl="0" w:tentative="0">
      <w:start w:val="1"/>
      <w:numFmt w:val="japaneseCounting"/>
      <w:lvlText w:val="%1、"/>
      <w:lvlJc w:val="left"/>
      <w:pPr>
        <w:tabs>
          <w:tab w:val="left" w:pos="862"/>
        </w:tabs>
        <w:ind w:left="862"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2"/>
  </w:compat>
  <w:docVars>
    <w:docVar w:name="commondata" w:val="eyJoZGlkIjoiMDFiYmJiYTZiNDU3M2VmNWU1ZGJiY2IwN2FlNmVkOTUifQ=="/>
  </w:docVars>
  <w:rsids>
    <w:rsidRoot w:val="00ED2692"/>
    <w:rsid w:val="000A20A6"/>
    <w:rsid w:val="0023257F"/>
    <w:rsid w:val="002C7335"/>
    <w:rsid w:val="006B6DD2"/>
    <w:rsid w:val="00710537"/>
    <w:rsid w:val="008B46B5"/>
    <w:rsid w:val="00E36EFD"/>
    <w:rsid w:val="00EB34F3"/>
    <w:rsid w:val="00ED2692"/>
    <w:rsid w:val="00EE3238"/>
    <w:rsid w:val="0B8D25F6"/>
    <w:rsid w:val="26301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876</Words>
  <Characters>1025</Characters>
  <Lines>7</Lines>
  <Paragraphs>2</Paragraphs>
  <TotalTime>17</TotalTime>
  <ScaleCrop>false</ScaleCrop>
  <LinksUpToDate>false</LinksUpToDate>
  <CharactersWithSpaces>1042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2018-04-19T01:49:00Z</dcterms:created>
  <dc:creator>l</dc:creator>
  <cp:lastModifiedBy>丫头婷</cp:lastModifiedBy>
  <dcterms:modified xsi:type="dcterms:W3CDTF">2024-05-30T07:18:31Z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3FE9E8DFA4074370BB91D30CD9A5E88F_12</vt:lpwstr>
  </property>
</Properties>
</file>